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5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118"/>
        <w:gridCol w:w="866"/>
        <w:gridCol w:w="2836"/>
        <w:gridCol w:w="3103"/>
        <w:gridCol w:w="2358"/>
        <w:gridCol w:w="244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武汉软件工程学院学院2016级毕业生户籍去向统计表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户口去向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13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160" w:firstLineChars="9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学生科长签字：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学院盖章：</w:t>
            </w: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户口去向包括以下情况：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正常毕业户籍去向包括：回原籍、购房、被单位录用。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2、不能正常毕业包括：退学、挂科、欠学费。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3、暂不确定户口去向。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年  月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04F31"/>
    <w:multiLevelType w:val="singleLevel"/>
    <w:tmpl w:val="38704F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33465"/>
    <w:rsid w:val="46C3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2019-06-03T01:13:00Z</dcterms:created>
  <dc:creator>video et taceo</dc:creator>
  <cp:lastModifiedBy>video et taceo</cp:lastModifiedBy>
  <dcterms:modified xsi:type="dcterms:W3CDTF">2019-06-03T01:14:58Z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